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2156"/>
      </w:tblGrid>
      <w:tr w:rsidR="00966C3E" w:rsidRPr="00221315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Name of course: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221315">
              <w:rPr>
                <w:rFonts w:ascii="Playfair Display" w:hAnsi="Playfair Display"/>
                <w:b/>
                <w:lang w:val="en-US" w:eastAsia="en-US"/>
              </w:rPr>
              <w:t>Land classification and regional development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966C3E" w:rsidRPr="00221315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221315">
              <w:rPr>
                <w:rFonts w:ascii="Playfair Display" w:hAnsi="Playfair Display"/>
                <w:lang w:val="en-US" w:eastAsia="en-US"/>
              </w:rPr>
              <w:t>: compulsory</w:t>
            </w:r>
          </w:p>
        </w:tc>
      </w:tr>
      <w:tr w:rsidR="00966C3E" w:rsidRPr="00221315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50/50%</w:t>
            </w:r>
          </w:p>
        </w:tc>
      </w:tr>
      <w:tr w:rsidR="00966C3E" w:rsidRPr="00221315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theoretical and practical, and the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>total number:  28 hours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>semester. 14 hours of lecture and 14 hours of practice.</w:t>
            </w:r>
          </w:p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Further (unique) means and properties of knowledge transfer: -</w:t>
            </w:r>
          </w:p>
        </w:tc>
      </w:tr>
      <w:tr w:rsidR="00966C3E" w:rsidRPr="00221315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practical grade</w:t>
            </w:r>
          </w:p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221315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>-</w:t>
            </w:r>
          </w:p>
        </w:tc>
      </w:tr>
      <w:tr w:rsidR="00966C3E" w:rsidRPr="00221315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 (which semester): 3</w:t>
            </w:r>
            <w:r w:rsidRPr="00221315">
              <w:rPr>
                <w:rFonts w:ascii="Playfair Display" w:hAnsi="Playfair Display"/>
                <w:vertAlign w:val="superscript"/>
                <w:lang w:val="en-US" w:eastAsia="en-US"/>
              </w:rPr>
              <w:t>rd</w:t>
            </w:r>
            <w:r w:rsidRPr="00221315">
              <w:rPr>
                <w:rFonts w:ascii="Playfair Display" w:hAnsi="Playfair Display"/>
                <w:lang w:val="en-US" w:eastAsia="en-US"/>
              </w:rPr>
              <w:t xml:space="preserve"> semester</w:t>
            </w:r>
          </w:p>
        </w:tc>
      </w:tr>
      <w:tr w:rsidR="00966C3E" w:rsidRPr="00221315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966C3E" w:rsidRPr="00221315" w:rsidRDefault="00966C3E" w:rsidP="00966C3E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966C3E" w:rsidRPr="00221315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221315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966C3E" w:rsidRPr="00221315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The aim of the course is to </w:t>
            </w:r>
            <w:proofErr w:type="spellStart"/>
            <w:r w:rsidRPr="00221315">
              <w:rPr>
                <w:rFonts w:ascii="Playfair Display" w:hAnsi="Playfair Display"/>
                <w:lang w:val="en-US" w:eastAsia="en-US"/>
              </w:rPr>
              <w:t>familiarise</w:t>
            </w:r>
            <w:proofErr w:type="spellEnd"/>
            <w:r w:rsidRPr="00221315">
              <w:rPr>
                <w:rFonts w:ascii="Playfair Display" w:hAnsi="Playfair Display"/>
                <w:lang w:val="en-US" w:eastAsia="en-US"/>
              </w:rPr>
              <w:t xml:space="preserve"> students with the basic characteristics of domestic land use, land classification and spatial development, the related regional and sub-regional spatial structure and rural development contexts, and the planning of spatial processes in the context of the European Union.</w:t>
            </w: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Curriculum 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Property structure in Hungary (before and after the political restructuring)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The origin, status, conceptual framework and stages of development of land evaluation.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Land valuation methods. (Land evaluation basis, Golden Crown land evaluation, D-e-Meter land evaluation), landscape ecology modelling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Regulation and process of land-use plans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Land valuation, land classification, land registration, land protection provisions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Agricultural landscape assessment. The National Ecological Network (NECONET)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Land use zoning in Hungary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Land management.  Aspects of field layout.  Relationship between land use and farming. 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Habitat protection. Habitat improvement. Farming systems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Basic concepts of regional planning, the role and purpose of regional planning in market economies.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The main theories underlying regional planning (economic zoning, </w:t>
            </w:r>
            <w:proofErr w:type="spellStart"/>
            <w:r w:rsidRPr="00221315">
              <w:rPr>
                <w:rFonts w:ascii="Playfair Display" w:hAnsi="Playfair Display"/>
                <w:lang w:val="en-US" w:eastAsia="en-US"/>
              </w:rPr>
              <w:t>centre</w:t>
            </w:r>
            <w:proofErr w:type="spellEnd"/>
            <w:r w:rsidRPr="00221315">
              <w:rPr>
                <w:rFonts w:ascii="Playfair Display" w:hAnsi="Playfair Display"/>
                <w:lang w:val="en-US" w:eastAsia="en-US"/>
              </w:rPr>
              <w:t>-periphery models)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Territorial disparities, strategic challenges for territorial development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Strategic points for regional planning (population, infrastructure, sustainable development).</w:t>
            </w:r>
          </w:p>
          <w:p w:rsidR="00966C3E" w:rsidRPr="00221315" w:rsidRDefault="00966C3E" w:rsidP="00966C3E">
            <w:pPr>
              <w:numPr>
                <w:ilvl w:val="0"/>
                <w:numId w:val="26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Spatial planning in practice, the main steps in regional programming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94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966C3E" w:rsidRDefault="00966C3E" w:rsidP="00966C3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966C3E" w:rsidRPr="00221315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966C3E" w:rsidRPr="00221315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Lazányi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, J. (2012).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Efficiency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of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land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use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and Europe 2020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objectives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. </w:t>
            </w:r>
            <w:proofErr w:type="gramStart"/>
            <w:r w:rsidRPr="00221315">
              <w:rPr>
                <w:rFonts w:ascii="Playfair Display" w:hAnsi="Playfair Display"/>
                <w:lang w:eastAsia="en-US"/>
              </w:rPr>
              <w:t>Debrecen ;</w:t>
            </w:r>
            <w:proofErr w:type="gramEnd"/>
            <w:r w:rsidRPr="00221315">
              <w:rPr>
                <w:rFonts w:ascii="Playfair Display" w:hAnsi="Playfair Display"/>
                <w:lang w:eastAsia="en-US"/>
              </w:rPr>
              <w:t xml:space="preserve"> Nyíregyháza :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Westsik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Vilmos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Foundation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for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Rural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Development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>, 2012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221315">
              <w:rPr>
                <w:rFonts w:ascii="Playfair Display" w:hAnsi="Playfair Display"/>
                <w:lang w:eastAsia="en-US"/>
              </w:rPr>
              <w:t>Vink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, </w:t>
            </w:r>
            <w:proofErr w:type="gramStart"/>
            <w:r w:rsidRPr="00221315">
              <w:rPr>
                <w:rFonts w:ascii="Playfair Display" w:hAnsi="Playfair Display"/>
                <w:lang w:eastAsia="en-US"/>
              </w:rPr>
              <w:t>A</w:t>
            </w:r>
            <w:proofErr w:type="gramEnd"/>
            <w:r w:rsidRPr="00221315">
              <w:rPr>
                <w:rFonts w:ascii="Playfair Display" w:hAnsi="Playfair Display"/>
                <w:lang w:eastAsia="en-US"/>
              </w:rPr>
              <w:t xml:space="preserve">. P. (2013).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Land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use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in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advancing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agriculture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(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Vol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>. 1). Springer Science &amp; Business Media.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Lazányi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, J. (2013).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Labour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productivity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and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land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use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efficiency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in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agriculture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. </w:t>
            </w:r>
            <w:proofErr w:type="gramStart"/>
            <w:r w:rsidRPr="00221315">
              <w:rPr>
                <w:rFonts w:ascii="Playfair Display" w:hAnsi="Playfair Display"/>
                <w:lang w:eastAsia="en-US"/>
              </w:rPr>
              <w:t>Debrecen ;</w:t>
            </w:r>
            <w:proofErr w:type="gramEnd"/>
            <w:r w:rsidRPr="00221315">
              <w:rPr>
                <w:rFonts w:ascii="Playfair Display" w:hAnsi="Playfair Display"/>
                <w:lang w:eastAsia="en-US"/>
              </w:rPr>
              <w:t xml:space="preserve"> Nyíregyháza :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Westsik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Vilmos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Foundation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for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Rural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Development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>, 2013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eastAsia="en-US"/>
              </w:rPr>
            </w:pPr>
            <w:proofErr w:type="spellStart"/>
            <w:r w:rsidRPr="00221315">
              <w:rPr>
                <w:rFonts w:ascii="Playfair Display" w:hAnsi="Playfair Display"/>
                <w:lang w:eastAsia="en-US"/>
              </w:rPr>
              <w:t>Groenendijk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, P.,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Kroes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>, J. G</w:t>
            </w:r>
            <w:proofErr w:type="gramStart"/>
            <w:r w:rsidRPr="00221315">
              <w:rPr>
                <w:rFonts w:ascii="Playfair Display" w:hAnsi="Playfair Display"/>
                <w:lang w:eastAsia="en-US"/>
              </w:rPr>
              <w:t>.,</w:t>
            </w:r>
            <w:proofErr w:type="gramEnd"/>
            <w:r w:rsidRPr="00221315">
              <w:rPr>
                <w:rFonts w:ascii="Playfair Display" w:hAnsi="Playfair Display"/>
                <w:lang w:eastAsia="en-US"/>
              </w:rPr>
              <w:t xml:space="preserve"> &amp;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Rijtema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, P. E. (1999).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Environmental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Impacts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Of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Land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Use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In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Rural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Regions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: The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Development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,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Validation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And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Application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Of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Model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Tools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For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Management And Policy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Analysis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 (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Vol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 xml:space="preserve">. 1). World </w:t>
            </w:r>
            <w:proofErr w:type="spellStart"/>
            <w:r w:rsidRPr="00221315">
              <w:rPr>
                <w:rFonts w:ascii="Playfair Display" w:hAnsi="Playfair Display"/>
                <w:lang w:eastAsia="en-US"/>
              </w:rPr>
              <w:t>Scientific</w:t>
            </w:r>
            <w:proofErr w:type="spellEnd"/>
            <w:r w:rsidRPr="00221315">
              <w:rPr>
                <w:rFonts w:ascii="Playfair Display" w:hAnsi="Playfair Display"/>
                <w:lang w:eastAsia="en-US"/>
              </w:rPr>
              <w:t>.</w:t>
            </w:r>
          </w:p>
          <w:p w:rsidR="00966C3E" w:rsidRPr="00221315" w:rsidRDefault="00966C3E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eastAsia="en-US"/>
              </w:rPr>
            </w:pPr>
          </w:p>
        </w:tc>
      </w:tr>
      <w:tr w:rsidR="00966C3E" w:rsidRPr="00221315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lastRenderedPageBreak/>
              <w:t>Competencies to be acquired, related to the course:</w:t>
            </w:r>
          </w:p>
        </w:tc>
      </w:tr>
      <w:tr w:rsidR="00966C3E" w:rsidRPr="00221315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- Knowledge of the general and specific characteristics and contexts of the field. Research methods and the communication specificities of the discipline.</w:t>
            </w: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966C3E" w:rsidRPr="00221315" w:rsidRDefault="00966C3E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- Apply theories in the field in innovative ways to solve problems. </w:t>
            </w:r>
          </w:p>
          <w:p w:rsidR="00966C3E" w:rsidRPr="00221315" w:rsidRDefault="00966C3E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966C3E" w:rsidRPr="00221315" w:rsidRDefault="00966C3E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- Collaborate with representatives of the field </w:t>
            </w:r>
          </w:p>
          <w:p w:rsidR="00966C3E" w:rsidRPr="00221315" w:rsidRDefault="00966C3E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966C3E" w:rsidRPr="00221315" w:rsidRDefault="00966C3E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- Prepare independent summaries and analyses in a scientific format. </w:t>
            </w: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966C3E" w:rsidRPr="00221315" w:rsidRDefault="00966C3E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- Conveys the summary and detailed problems of the profession in a credible way. </w:t>
            </w:r>
          </w:p>
          <w:p w:rsidR="00966C3E" w:rsidRPr="00221315" w:rsidRDefault="00966C3E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966C3E" w:rsidRPr="00221315" w:rsidRDefault="00966C3E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- Takes a role in putting their profession at the service of the community. </w:t>
            </w:r>
          </w:p>
          <w:p w:rsidR="00966C3E" w:rsidRPr="00221315" w:rsidRDefault="00966C3E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 xml:space="preserve">- Strives to put the latest findings in the field at the service of their own development. </w:t>
            </w: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966C3E" w:rsidRPr="00221315" w:rsidRDefault="00966C3E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21315">
              <w:rPr>
                <w:rFonts w:ascii="Playfair Display" w:hAnsi="Playfair Display"/>
                <w:lang w:val="en-US" w:eastAsia="en-US"/>
              </w:rPr>
              <w:t>- Independently develop problematic areas and carry out their activities.</w:t>
            </w:r>
          </w:p>
        </w:tc>
      </w:tr>
    </w:tbl>
    <w:p w:rsidR="00966C3E" w:rsidRPr="00221315" w:rsidRDefault="00966C3E" w:rsidP="00966C3E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966C3E" w:rsidRPr="00221315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221315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b/>
                <w:lang w:val="en-US" w:eastAsia="en-US"/>
              </w:rPr>
              <w:t>Adrienn</w:t>
            </w:r>
            <w:proofErr w:type="spellEnd"/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b/>
                <w:lang w:val="en-US" w:eastAsia="en-US"/>
              </w:rPr>
              <w:t>Kakuszi-Széles</w:t>
            </w:r>
            <w:proofErr w:type="spellEnd"/>
            <w:r w:rsidRPr="00221315">
              <w:rPr>
                <w:rFonts w:ascii="Playfair Display" w:hAnsi="Playfair Display"/>
                <w:b/>
                <w:lang w:val="en-US" w:eastAsia="en-US"/>
              </w:rPr>
              <w:t>, PhD, associate professor</w:t>
            </w:r>
          </w:p>
        </w:tc>
      </w:tr>
      <w:tr w:rsidR="00966C3E" w:rsidRPr="00221315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66C3E" w:rsidRPr="00221315" w:rsidRDefault="00966C3E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221315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b/>
                <w:lang w:val="en-US" w:eastAsia="en-US"/>
              </w:rPr>
              <w:t>Csaba</w:t>
            </w:r>
            <w:proofErr w:type="spellEnd"/>
            <w:r w:rsidRPr="00221315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221315">
              <w:rPr>
                <w:rFonts w:ascii="Playfair Display" w:hAnsi="Playfair Display"/>
                <w:b/>
                <w:lang w:val="en-US" w:eastAsia="en-US"/>
              </w:rPr>
              <w:t>Bojtor</w:t>
            </w:r>
            <w:proofErr w:type="spellEnd"/>
            <w:r w:rsidRPr="00221315">
              <w:rPr>
                <w:rFonts w:ascii="Playfair Display" w:hAnsi="Playfair Display"/>
                <w:b/>
                <w:lang w:val="en-US" w:eastAsia="en-US"/>
              </w:rPr>
              <w:t>, assistant lecturer</w:t>
            </w:r>
          </w:p>
        </w:tc>
      </w:tr>
    </w:tbl>
    <w:p w:rsidR="00314FB7" w:rsidRPr="00966C3E" w:rsidRDefault="00314FB7" w:rsidP="00966C3E"/>
    <w:sectPr w:rsidR="00314FB7" w:rsidRPr="0096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6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5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1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21"/>
  </w:num>
  <w:num w:numId="5">
    <w:abstractNumId w:val="18"/>
  </w:num>
  <w:num w:numId="6">
    <w:abstractNumId w:val="17"/>
  </w:num>
  <w:num w:numId="7">
    <w:abstractNumId w:val="1"/>
  </w:num>
  <w:num w:numId="8">
    <w:abstractNumId w:val="0"/>
  </w:num>
  <w:num w:numId="9">
    <w:abstractNumId w:val="15"/>
  </w:num>
  <w:num w:numId="10">
    <w:abstractNumId w:val="20"/>
  </w:num>
  <w:num w:numId="11">
    <w:abstractNumId w:val="8"/>
  </w:num>
  <w:num w:numId="12">
    <w:abstractNumId w:val="7"/>
  </w:num>
  <w:num w:numId="13">
    <w:abstractNumId w:val="23"/>
  </w:num>
  <w:num w:numId="14">
    <w:abstractNumId w:val="12"/>
  </w:num>
  <w:num w:numId="15">
    <w:abstractNumId w:val="9"/>
  </w:num>
  <w:num w:numId="16">
    <w:abstractNumId w:val="4"/>
  </w:num>
  <w:num w:numId="17">
    <w:abstractNumId w:val="13"/>
  </w:num>
  <w:num w:numId="18">
    <w:abstractNumId w:val="10"/>
  </w:num>
  <w:num w:numId="19">
    <w:abstractNumId w:val="24"/>
  </w:num>
  <w:num w:numId="20">
    <w:abstractNumId w:val="5"/>
  </w:num>
  <w:num w:numId="21">
    <w:abstractNumId w:val="14"/>
  </w:num>
  <w:num w:numId="22">
    <w:abstractNumId w:val="22"/>
  </w:num>
  <w:num w:numId="23">
    <w:abstractNumId w:val="16"/>
  </w:num>
  <w:num w:numId="24">
    <w:abstractNumId w:val="6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120321"/>
    <w:rsid w:val="001E2C0B"/>
    <w:rsid w:val="001F4D9D"/>
    <w:rsid w:val="001F75D3"/>
    <w:rsid w:val="0026286D"/>
    <w:rsid w:val="002A5D29"/>
    <w:rsid w:val="00314FB7"/>
    <w:rsid w:val="00527EC5"/>
    <w:rsid w:val="006E1313"/>
    <w:rsid w:val="007B5C65"/>
    <w:rsid w:val="00966C3E"/>
    <w:rsid w:val="009D08DD"/>
    <w:rsid w:val="00A45160"/>
    <w:rsid w:val="00AD0A43"/>
    <w:rsid w:val="00D15FDE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2022-10-28T07:01:00Z</dcterms:created>
  <dcterms:modified xsi:type="dcterms:W3CDTF">2022-10-28T07:01:00Z</dcterms:modified>
</cp:coreProperties>
</file>